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85F" w:rsidRPr="00E5385F" w:rsidRDefault="00E5385F" w:rsidP="00E5385F">
      <w:pPr>
        <w:tabs>
          <w:tab w:val="left" w:pos="225"/>
          <w:tab w:val="center" w:pos="4536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hr-HR"/>
        </w:rPr>
      </w:pPr>
      <w:bookmarkStart w:id="0" w:name="_Hlk113621661"/>
      <w:bookmarkStart w:id="1" w:name="_Toc130382907"/>
      <w:bookmarkStart w:id="2" w:name="_GoBack"/>
      <w:bookmarkEnd w:id="2"/>
      <w:r w:rsidRPr="00E5385F">
        <w:rPr>
          <w:rFonts w:ascii="Arial" w:eastAsia="Times New Roman" w:hAnsi="Arial" w:cs="Arial"/>
          <w:b/>
          <w:sz w:val="20"/>
          <w:szCs w:val="20"/>
          <w:lang w:eastAsia="hr-HR"/>
        </w:rPr>
        <w:t>IZVJEŠTAJ O ZADUŽIVANJU NA DOMAĆEM I STRANOM TRŽIŠTU NOVCA I KAPITALA</w:t>
      </w:r>
    </w:p>
    <w:bookmarkEnd w:id="0"/>
    <w:p w:rsidR="00E5385F" w:rsidRPr="00E5385F" w:rsidRDefault="00E5385F" w:rsidP="00E5385F">
      <w:pPr>
        <w:tabs>
          <w:tab w:val="left" w:pos="225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E5385F" w:rsidRPr="00E5385F" w:rsidRDefault="00E5385F" w:rsidP="004A5280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E5385F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Zaduživanje jedinica lokalne i područne (regionalne) samouprave kao i izdavanje jamstava i suglasnosti pravnim osobama u većinskom izravnom ili neizravnom vlasništvu jedinice lokalne i područne (regionalne) samouprave i ustanovama kojih je osnivač</w:t>
      </w:r>
      <w:r w:rsidR="00EC3448">
        <w:rPr>
          <w:rFonts w:ascii="Arial" w:eastAsia="Times New Roman" w:hAnsi="Arial" w:cs="Arial"/>
          <w:color w:val="000000"/>
          <w:sz w:val="20"/>
          <w:szCs w:val="20"/>
          <w:lang w:eastAsia="hr-HR"/>
        </w:rPr>
        <w:t xml:space="preserve"> </w:t>
      </w:r>
      <w:r w:rsidR="00EC3448" w:rsidRPr="00E5385F">
        <w:rPr>
          <w:rFonts w:ascii="Arial" w:eastAsia="Times New Roman" w:hAnsi="Arial" w:cs="Arial"/>
          <w:color w:val="000000"/>
          <w:sz w:val="20"/>
          <w:szCs w:val="20"/>
          <w:lang w:eastAsia="hr-HR"/>
        </w:rPr>
        <w:t xml:space="preserve">jedinica lokalne i područne (regionalne) samouprave </w:t>
      </w:r>
      <w:r w:rsidRPr="00E5385F">
        <w:rPr>
          <w:rFonts w:ascii="Arial" w:eastAsia="Times New Roman" w:hAnsi="Arial" w:cs="Arial"/>
          <w:color w:val="000000"/>
          <w:sz w:val="20"/>
          <w:szCs w:val="20"/>
          <w:lang w:eastAsia="hr-HR"/>
        </w:rPr>
        <w:t xml:space="preserve">regulirano je Zakonom o proračunu (Narodne </w:t>
      </w:r>
      <w:r w:rsidRPr="00E5385F">
        <w:rPr>
          <w:rFonts w:ascii="Arial" w:eastAsia="Times New Roman" w:hAnsi="Arial" w:cs="Arial"/>
          <w:sz w:val="20"/>
          <w:szCs w:val="20"/>
          <w:lang w:eastAsia="hr-HR"/>
        </w:rPr>
        <w:t>novine 144/21).</w:t>
      </w:r>
    </w:p>
    <w:p w:rsidR="00E5385F" w:rsidRPr="00E5385F" w:rsidRDefault="00E5385F" w:rsidP="004A5280">
      <w:pPr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E5385F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U 202</w:t>
      </w:r>
      <w:r w:rsidR="005B577F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6</w:t>
      </w:r>
      <w:r w:rsidRPr="00E5385F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. jedinice lokalne i područne (regionalne) samouprave mogu se dugoročno zaduživati:</w:t>
      </w:r>
    </w:p>
    <w:p w:rsidR="00E5385F" w:rsidRPr="00E5385F" w:rsidRDefault="00E5385F" w:rsidP="004A5280">
      <w:pPr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E5385F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-  za investiciju koja se financira iz njezina proračuna</w:t>
      </w:r>
    </w:p>
    <w:p w:rsidR="00E5385F" w:rsidRPr="00E5385F" w:rsidRDefault="00E5385F" w:rsidP="004A5280">
      <w:pPr>
        <w:spacing w:after="135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E5385F">
        <w:rPr>
          <w:rFonts w:ascii="Arial" w:eastAsia="Times New Roman" w:hAnsi="Arial" w:cs="Arial"/>
          <w:color w:val="000000"/>
          <w:sz w:val="20"/>
          <w:szCs w:val="20"/>
          <w:lang w:eastAsia="hr-HR"/>
        </w:rPr>
        <w:t xml:space="preserve">– za kapitalne pomoći trgovačkim društvima i drugim pravnim osobama u većinskom vlasništvu ili suvlasništvu jedinica lokalne i područne (regionalne) samouprave radi realizacije investicije koja se sufinancira iz fondova Europske unije i za investicije odnosno projekte čija je realizacija utvrđena posebnim propisima te </w:t>
      </w:r>
    </w:p>
    <w:p w:rsidR="00E5385F" w:rsidRPr="00E5385F" w:rsidRDefault="00E5385F" w:rsidP="004A5280">
      <w:pPr>
        <w:spacing w:after="135" w:line="240" w:lineRule="auto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E5385F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– za financiranje obveza na ime povrata neprihvatljivih troškova koji su bili sufinancirani iz fondova Europske unije.</w:t>
      </w:r>
    </w:p>
    <w:p w:rsidR="00E5385F" w:rsidRPr="00E5385F" w:rsidRDefault="00E5385F" w:rsidP="004A5280">
      <w:pPr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E5385F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Jedinice lokalne i područne (regionalne) samouprave zadužuju se na temelju odluke njihova predstavničkog tijela, uz prethodnu suglasnost Vlade Republike Hrvatske. Iznimno, suglasnost za dugoročno zaduživanje može dati ministar financija ako se jedinica lokalne i područne (regionalne) samouprave zadužuje za realizaciju projekta koji se sufinancira iz fondova Europske unije najviše do iznosa ukupno prihvatljivog troška projekta.</w:t>
      </w:r>
    </w:p>
    <w:p w:rsidR="00E5385F" w:rsidRPr="00E5385F" w:rsidRDefault="00E5385F" w:rsidP="004A5280">
      <w:pPr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E5385F">
        <w:rPr>
          <w:rFonts w:ascii="Arial" w:eastAsia="Times New Roman" w:hAnsi="Arial" w:cs="Arial"/>
          <w:color w:val="000000"/>
          <w:sz w:val="20"/>
          <w:szCs w:val="20"/>
          <w:lang w:eastAsia="hr-HR"/>
        </w:rPr>
        <w:t xml:space="preserve">Gore spomenutim Zakonom ograničava se visina zaduživanja tako da ukupna godišnja obveza jedinice lokalne i područne (regionalne) samouprave može iznositi najviše do 20 posto ostvarenih prihoda u godini koja prethodi godini u kojoj se zadužuje. Navedeno ograničenje ne odnosi se na iznos zaduživanja jedinice lokalne i područne (regionalne) samouprave do iznosa ukupno prihvatljivog troška projekta sufinanciranog iz sredstava Europske unije i na zaduživanje za investicije iz područja unapređenja energetske učinkovitosti.  </w:t>
      </w:r>
    </w:p>
    <w:p w:rsidR="00E5385F" w:rsidRPr="00E5385F" w:rsidRDefault="00E5385F" w:rsidP="004A5280">
      <w:pPr>
        <w:spacing w:before="120" w:after="12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hr-HR"/>
        </w:rPr>
      </w:pPr>
      <w:r w:rsidRPr="00E5385F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U iznos ukupne godišnje obveze uključen je iznos prosječnog godišnjeg anuiteta po kreditima, zajmovima, obvezama na osnovu izdanih vrijednosnih papira, danih jamstava razmjerno osnivačkim pravima sukladno aktu o osnivanju odnosno udjelu u vlasništvu i suglasnosti proračunskim korisnicima jedinica lokalne i područne (regionalne) samouprave i ustanovama čiji su osnivači ili suosnivači jedna ili više jedinica lokalne i područne (regionalne) samouprave razmjerno osnivačkim pravima sukladno aktu o osnivanju. Isto tako, u iznos ukupne godišnje obveze uključuju se dospjele obveze iskazane u zadnjem raspoloživom financijskom izvještaju.</w:t>
      </w:r>
    </w:p>
    <w:p w:rsidR="00E5385F" w:rsidRPr="00E5385F" w:rsidRDefault="00E5385F" w:rsidP="004A5280">
      <w:pPr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E5385F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Pod ostvarenim proračunskim prihodima podrazumijevaju se ukupno ostvareni prihodi jedinice lokalne i područne (regionalne) samouprave umanjeni za prihode:</w:t>
      </w:r>
    </w:p>
    <w:p w:rsidR="00E5385F" w:rsidRPr="00E5385F" w:rsidRDefault="00E5385F" w:rsidP="004A5280">
      <w:pPr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E5385F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-   od pomoći iz inozemstva i od subjekata unutar općeg proračuna i donacija,</w:t>
      </w:r>
    </w:p>
    <w:p w:rsidR="00E5385F" w:rsidRPr="00E5385F" w:rsidRDefault="00E5385F" w:rsidP="004A5280">
      <w:pPr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E5385F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-   s osnove dodatnih udjela u porezu na dohodak za financiranje decentraliziranih funkcija</w:t>
      </w:r>
    </w:p>
    <w:p w:rsidR="00E5385F" w:rsidRPr="00E5385F" w:rsidRDefault="00E5385F" w:rsidP="004A5280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E5385F">
        <w:rPr>
          <w:rFonts w:ascii="Arial" w:eastAsia="Times New Roman" w:hAnsi="Arial" w:cs="Arial"/>
          <w:sz w:val="20"/>
          <w:szCs w:val="20"/>
          <w:lang w:eastAsia="hr-HR"/>
        </w:rPr>
        <w:t>U 202</w:t>
      </w:r>
      <w:r w:rsidR="00ED5298">
        <w:rPr>
          <w:rFonts w:ascii="Arial" w:eastAsia="Times New Roman" w:hAnsi="Arial" w:cs="Arial"/>
          <w:sz w:val="20"/>
          <w:szCs w:val="20"/>
          <w:lang w:eastAsia="hr-HR"/>
        </w:rPr>
        <w:t>6</w:t>
      </w:r>
      <w:r w:rsidRPr="00E5385F">
        <w:rPr>
          <w:rFonts w:ascii="Arial" w:eastAsia="Times New Roman" w:hAnsi="Arial" w:cs="Arial"/>
          <w:sz w:val="20"/>
          <w:szCs w:val="20"/>
          <w:lang w:eastAsia="hr-HR"/>
        </w:rPr>
        <w:t>. mogućnost zaduživanja svih jedinica lokalne i područne (regionalne) samouprave prema Zakonu o izvršavanju državnog proračuna Republike Hrvatske za 202</w:t>
      </w:r>
      <w:r w:rsidR="00ED5298">
        <w:rPr>
          <w:rFonts w:ascii="Arial" w:eastAsia="Times New Roman" w:hAnsi="Arial" w:cs="Arial"/>
          <w:sz w:val="20"/>
          <w:szCs w:val="20"/>
          <w:lang w:eastAsia="hr-HR"/>
        </w:rPr>
        <w:t>6</w:t>
      </w:r>
      <w:r w:rsidRPr="00E5385F">
        <w:rPr>
          <w:rFonts w:ascii="Arial" w:eastAsia="Times New Roman" w:hAnsi="Arial" w:cs="Arial"/>
          <w:sz w:val="20"/>
          <w:szCs w:val="20"/>
          <w:lang w:eastAsia="hr-HR"/>
        </w:rPr>
        <w:t xml:space="preserve">. (Narodne novine </w:t>
      </w:r>
      <w:r w:rsidR="00ED5298">
        <w:rPr>
          <w:rFonts w:ascii="Arial" w:eastAsia="Times New Roman" w:hAnsi="Arial" w:cs="Arial"/>
          <w:sz w:val="20"/>
          <w:szCs w:val="20"/>
          <w:lang w:eastAsia="hr-HR"/>
        </w:rPr>
        <w:t>152</w:t>
      </w:r>
      <w:r w:rsidRPr="00E5385F">
        <w:rPr>
          <w:rFonts w:ascii="Arial" w:eastAsia="Times New Roman" w:hAnsi="Arial" w:cs="Arial"/>
          <w:sz w:val="20"/>
          <w:szCs w:val="20"/>
          <w:lang w:eastAsia="hr-HR"/>
        </w:rPr>
        <w:t>/</w:t>
      </w:r>
      <w:r w:rsidR="00ED5298">
        <w:rPr>
          <w:rFonts w:ascii="Arial" w:eastAsia="Times New Roman" w:hAnsi="Arial" w:cs="Arial"/>
          <w:sz w:val="20"/>
          <w:szCs w:val="20"/>
          <w:lang w:eastAsia="hr-HR"/>
        </w:rPr>
        <w:t>2025</w:t>
      </w:r>
      <w:r w:rsidRPr="00E5385F">
        <w:rPr>
          <w:rFonts w:ascii="Arial" w:eastAsia="Times New Roman" w:hAnsi="Arial" w:cs="Arial"/>
          <w:sz w:val="20"/>
          <w:szCs w:val="20"/>
          <w:lang w:eastAsia="hr-HR"/>
        </w:rPr>
        <w:t>)  iznosi 5% ukupno ostvarenih prihoda poslovanja svih jedinica lokalne i p</w:t>
      </w:r>
      <w:r w:rsidR="00ED5298">
        <w:rPr>
          <w:rFonts w:ascii="Arial" w:eastAsia="Times New Roman" w:hAnsi="Arial" w:cs="Arial"/>
          <w:sz w:val="20"/>
          <w:szCs w:val="20"/>
          <w:lang w:eastAsia="hr-HR"/>
        </w:rPr>
        <w:t>odručne (regionalne) samouprave iskazanih u financijskom izvještaju o prihodima, rashodima, primicima i izdacima za razdoblje od 1. siječnja do 31. prosinca 2025.</w:t>
      </w:r>
    </w:p>
    <w:p w:rsidR="00E5385F" w:rsidRPr="00E5385F" w:rsidRDefault="00E5385F" w:rsidP="004A5280">
      <w:pPr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E5385F">
        <w:rPr>
          <w:rFonts w:ascii="Arial" w:eastAsia="Times New Roman" w:hAnsi="Arial" w:cs="Arial"/>
          <w:sz w:val="20"/>
          <w:szCs w:val="20"/>
          <w:lang w:eastAsia="hr-HR"/>
        </w:rPr>
        <w:t xml:space="preserve">Postupak zaduživanja reguliran je Pravilnikom o postupku dugoročnog zaduživanja </w:t>
      </w:r>
      <w:r w:rsidRPr="00E5385F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te davanja jamstava i suglasnosti jedinica lokalne i područne (regionalne) samouprave (Narodne novine broj 67/2</w:t>
      </w:r>
      <w:r w:rsidR="00B60317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02</w:t>
      </w:r>
      <w:r w:rsidRPr="00E5385F">
        <w:rPr>
          <w:rFonts w:ascii="Arial" w:eastAsia="Times New Roman" w:hAnsi="Arial" w:cs="Arial"/>
          <w:color w:val="000000"/>
          <w:sz w:val="20"/>
          <w:szCs w:val="20"/>
          <w:lang w:eastAsia="hr-HR"/>
        </w:rPr>
        <w:t xml:space="preserve">2). </w:t>
      </w:r>
    </w:p>
    <w:p w:rsidR="00E5385F" w:rsidRPr="00E5385F" w:rsidRDefault="00E5385F" w:rsidP="004A5280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E5385F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Jedinica lokalne i područne (regionalne) samouprave dužna je izvijestiti Ministarstvo financija o sklopljenom ugovoru o zaduživanju i sklopljenom ugovoru o jamstvu u roku od 8 dana od dana sklapanja ugovora, a  dužna je izvještavati Ministarstvo financija unutar proračunske godine, tromjesečno do 10. u mjesecu za prethodno izvještajno razdoblje o otplati zajma i o stanju aktivnih jamstava za koje je dana suglasnost.</w:t>
      </w:r>
    </w:p>
    <w:p w:rsidR="00E5385F" w:rsidRPr="00E5385F" w:rsidRDefault="00E5385F" w:rsidP="004A5280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</w:p>
    <w:p w:rsidR="009C10D3" w:rsidRDefault="009C10D3" w:rsidP="004A5280">
      <w:pPr>
        <w:spacing w:line="240" w:lineRule="auto"/>
      </w:pPr>
    </w:p>
    <w:p w:rsidR="00230183" w:rsidRPr="005F5E43" w:rsidRDefault="00230183" w:rsidP="004A5280">
      <w:pPr>
        <w:keepNext/>
        <w:keepLines/>
        <w:spacing w:after="0" w:line="240" w:lineRule="auto"/>
        <w:jc w:val="both"/>
        <w:outlineLvl w:val="1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E5385F">
        <w:rPr>
          <w:rFonts w:ascii="Arial" w:eastAsia="Times New Roman" w:hAnsi="Arial" w:cs="Arial"/>
          <w:b/>
          <w:sz w:val="20"/>
          <w:szCs w:val="20"/>
          <w:lang w:eastAsia="hr-HR"/>
        </w:rPr>
        <w:lastRenderedPageBreak/>
        <w:t>Zaduživanje i otplate kredita</w:t>
      </w:r>
      <w:bookmarkEnd w:id="1"/>
      <w:r w:rsidRPr="00E5385F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</w:t>
      </w:r>
    </w:p>
    <w:p w:rsidR="0043224C" w:rsidRDefault="00691F42" w:rsidP="004A5280">
      <w:pPr>
        <w:spacing w:before="100" w:beforeAutospacing="1" w:after="100" w:afterAutospacing="1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691F42">
        <w:rPr>
          <w:rFonts w:ascii="Arial" w:eastAsia="Calibri" w:hAnsi="Arial" w:cs="Arial"/>
          <w:sz w:val="20"/>
          <w:szCs w:val="20"/>
        </w:rPr>
        <w:t>Sukladno Odluci o izvršavanju Proračuna Grada Zagreba za 202</w:t>
      </w:r>
      <w:r w:rsidR="00ED14D8">
        <w:rPr>
          <w:rFonts w:ascii="Arial" w:eastAsia="Calibri" w:hAnsi="Arial" w:cs="Arial"/>
          <w:sz w:val="20"/>
          <w:szCs w:val="20"/>
        </w:rPr>
        <w:t>6</w:t>
      </w:r>
      <w:r w:rsidRPr="00691F42">
        <w:rPr>
          <w:rFonts w:ascii="Arial" w:eastAsia="Calibri" w:hAnsi="Arial" w:cs="Arial"/>
          <w:sz w:val="20"/>
          <w:szCs w:val="20"/>
        </w:rPr>
        <w:t>., u 202</w:t>
      </w:r>
      <w:r w:rsidR="00ED14D8">
        <w:rPr>
          <w:rFonts w:ascii="Arial" w:eastAsia="Calibri" w:hAnsi="Arial" w:cs="Arial"/>
          <w:sz w:val="20"/>
          <w:szCs w:val="20"/>
        </w:rPr>
        <w:t>6</w:t>
      </w:r>
      <w:r w:rsidRPr="00691F42">
        <w:rPr>
          <w:rFonts w:ascii="Arial" w:eastAsia="Calibri" w:hAnsi="Arial" w:cs="Arial"/>
          <w:sz w:val="20"/>
          <w:szCs w:val="20"/>
        </w:rPr>
        <w:t xml:space="preserve">. godini </w:t>
      </w:r>
      <w:r w:rsidR="000B76C3">
        <w:rPr>
          <w:rFonts w:ascii="Arial" w:eastAsia="Calibri" w:hAnsi="Arial" w:cs="Arial"/>
          <w:sz w:val="20"/>
          <w:szCs w:val="20"/>
        </w:rPr>
        <w:t>Grad Zagreb planira povlačenje treće tranše u iznosu od 99.524.000 eura s osnove sklopljenog kredita kod Europske investicijske banke, čime bi se u cijelosti iskoristio ugovoreni iznos od 206.910.000 eura iz 2024. Isto tako, planira se dugoročno zaduženje sklapanjem novog okvirnog kredita s Europskom investicijskom bankom u iznosu od 188.090.000 eura, od čega se u 2026. planira povlačenje prve tranše u iznosu od 53.975.000 eura</w:t>
      </w:r>
      <w:r w:rsidR="005D2B3C">
        <w:rPr>
          <w:rFonts w:ascii="Arial" w:eastAsia="Calibri" w:hAnsi="Arial" w:cs="Arial"/>
          <w:sz w:val="20"/>
          <w:szCs w:val="20"/>
        </w:rPr>
        <w:t xml:space="preserve">. </w:t>
      </w:r>
    </w:p>
    <w:p w:rsidR="00691F42" w:rsidRPr="00691F42" w:rsidRDefault="00960F32" w:rsidP="004A5280">
      <w:pPr>
        <w:spacing w:before="100" w:beforeAutospacing="1" w:after="100" w:afterAutospacing="1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E5385F">
        <w:rPr>
          <w:rFonts w:ascii="Arial" w:eastAsia="Calibri" w:hAnsi="Arial" w:cs="Arial"/>
          <w:sz w:val="20"/>
          <w:szCs w:val="20"/>
        </w:rPr>
        <w:t xml:space="preserve">Grad je uredno otplaćivao svoje dospjele obveze po preuzetim kreditima pa je s osnova povrata glavnice po financijskim kreditima u razdoblju od 1. siječnja do </w:t>
      </w:r>
      <w:r w:rsidR="00393A35">
        <w:rPr>
          <w:rFonts w:ascii="Arial" w:eastAsia="Calibri" w:hAnsi="Arial" w:cs="Arial"/>
          <w:sz w:val="20"/>
          <w:szCs w:val="20"/>
        </w:rPr>
        <w:t>30. lipnja 2026</w:t>
      </w:r>
      <w:r w:rsidRPr="00E5385F">
        <w:rPr>
          <w:rFonts w:ascii="Arial" w:eastAsia="Calibri" w:hAnsi="Arial" w:cs="Arial"/>
          <w:sz w:val="20"/>
          <w:szCs w:val="20"/>
        </w:rPr>
        <w:t xml:space="preserve">. otplaćeno </w:t>
      </w:r>
      <w:r w:rsidR="00393A35">
        <w:rPr>
          <w:rFonts w:ascii="Arial" w:eastAsia="Calibri" w:hAnsi="Arial" w:cs="Arial"/>
          <w:sz w:val="20"/>
          <w:szCs w:val="20"/>
        </w:rPr>
        <w:t>23.534.255,11</w:t>
      </w:r>
      <w:r w:rsidRPr="00E5385F">
        <w:rPr>
          <w:rFonts w:ascii="Arial" w:eastAsia="Calibri" w:hAnsi="Arial" w:cs="Arial"/>
          <w:sz w:val="20"/>
          <w:szCs w:val="20"/>
        </w:rPr>
        <w:t xml:space="preserve"> eura, a s osnova kamata </w:t>
      </w:r>
      <w:r w:rsidR="00393A35">
        <w:rPr>
          <w:rFonts w:ascii="Arial" w:eastAsia="Calibri" w:hAnsi="Arial" w:cs="Arial"/>
          <w:sz w:val="20"/>
          <w:szCs w:val="20"/>
        </w:rPr>
        <w:t>3.576.592,50</w:t>
      </w:r>
      <w:r w:rsidRPr="00E5385F">
        <w:rPr>
          <w:rFonts w:ascii="Arial" w:eastAsia="Calibri" w:hAnsi="Arial" w:cs="Arial"/>
          <w:sz w:val="20"/>
          <w:szCs w:val="20"/>
        </w:rPr>
        <w:t xml:space="preserve"> eura. Grad je redovito otplaćivao obveze po robnom kreditu za Dom za starije osobe na Lašćini te je s osnove povrata glavnice u istom razdoblju otplaćeno </w:t>
      </w:r>
      <w:r w:rsidR="00393A35">
        <w:rPr>
          <w:rFonts w:ascii="Arial" w:eastAsia="Calibri" w:hAnsi="Arial" w:cs="Arial"/>
          <w:sz w:val="20"/>
          <w:szCs w:val="20"/>
        </w:rPr>
        <w:t>1.018.555,82</w:t>
      </w:r>
      <w:r w:rsidRPr="00E5385F">
        <w:rPr>
          <w:rFonts w:ascii="Arial" w:eastAsia="Calibri" w:hAnsi="Arial" w:cs="Arial"/>
          <w:sz w:val="20"/>
          <w:szCs w:val="20"/>
        </w:rPr>
        <w:t xml:space="preserve"> eura, a s osnove kamata </w:t>
      </w:r>
      <w:r w:rsidR="00393A35">
        <w:rPr>
          <w:rFonts w:ascii="Arial" w:eastAsia="Calibri" w:hAnsi="Arial" w:cs="Arial"/>
          <w:sz w:val="20"/>
          <w:szCs w:val="20"/>
        </w:rPr>
        <w:t>56.114,86</w:t>
      </w:r>
      <w:r w:rsidRPr="00E5385F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eura</w:t>
      </w:r>
      <w:r w:rsidR="00393A35">
        <w:rPr>
          <w:rFonts w:ascii="Arial" w:eastAsia="Calibri" w:hAnsi="Arial" w:cs="Arial"/>
          <w:sz w:val="20"/>
          <w:szCs w:val="20"/>
        </w:rPr>
        <w:t xml:space="preserve">. </w:t>
      </w:r>
      <w:r w:rsidR="00691F42" w:rsidRPr="00691F42">
        <w:rPr>
          <w:rFonts w:ascii="Arial" w:eastAsia="Calibri" w:hAnsi="Arial" w:cs="Arial"/>
          <w:sz w:val="20"/>
          <w:szCs w:val="20"/>
        </w:rPr>
        <w:t xml:space="preserve">O otplatama duga za sva zaduženja, jamstva i dane suglasnosti je sukladno Zakonu o proračunu pravodobno izvještavano Ministarstvo financija. </w:t>
      </w:r>
    </w:p>
    <w:p w:rsidR="00691F42" w:rsidRPr="005F5E43" w:rsidRDefault="00691F42" w:rsidP="004A528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5F5E43">
        <w:rPr>
          <w:rFonts w:ascii="Arial" w:eastAsia="Calibri" w:hAnsi="Arial" w:cs="Arial"/>
          <w:color w:val="000000" w:themeColor="text1"/>
          <w:sz w:val="20"/>
          <w:szCs w:val="20"/>
        </w:rPr>
        <w:t xml:space="preserve">Stanje duga Grada Zagreba na dan </w:t>
      </w:r>
      <w:r w:rsidR="00963E1D">
        <w:rPr>
          <w:rFonts w:ascii="Arial" w:eastAsia="Calibri" w:hAnsi="Arial" w:cs="Arial"/>
          <w:color w:val="000000" w:themeColor="text1"/>
          <w:sz w:val="20"/>
          <w:szCs w:val="20"/>
        </w:rPr>
        <w:t>30. lipnja 2026</w:t>
      </w:r>
      <w:r w:rsidR="005F5E43" w:rsidRPr="005F5E43">
        <w:rPr>
          <w:rFonts w:ascii="Arial" w:eastAsia="Calibri" w:hAnsi="Arial" w:cs="Arial"/>
          <w:color w:val="000000" w:themeColor="text1"/>
          <w:sz w:val="20"/>
          <w:szCs w:val="20"/>
        </w:rPr>
        <w:t xml:space="preserve">. po </w:t>
      </w:r>
      <w:r w:rsidRPr="005F5E43">
        <w:rPr>
          <w:rFonts w:ascii="Arial" w:eastAsia="Calibri" w:hAnsi="Arial" w:cs="Arial"/>
          <w:color w:val="000000" w:themeColor="text1"/>
          <w:sz w:val="20"/>
          <w:szCs w:val="20"/>
        </w:rPr>
        <w:t xml:space="preserve">dugoročnim financijskim kreditima iznosi </w:t>
      </w:r>
      <w:r w:rsidR="004A5280">
        <w:rPr>
          <w:rFonts w:ascii="Arial" w:eastAsia="Calibri" w:hAnsi="Arial" w:cs="Arial"/>
          <w:color w:val="000000" w:themeColor="text1"/>
          <w:sz w:val="20"/>
          <w:szCs w:val="20"/>
        </w:rPr>
        <w:t>219.635.022,77</w:t>
      </w:r>
      <w:r w:rsidRPr="005F5E43">
        <w:rPr>
          <w:rFonts w:ascii="Arial" w:eastAsia="Calibri" w:hAnsi="Arial" w:cs="Arial"/>
          <w:color w:val="000000" w:themeColor="text1"/>
          <w:sz w:val="20"/>
          <w:szCs w:val="20"/>
        </w:rPr>
        <w:t xml:space="preserve"> eura, a po robnim zajmovima </w:t>
      </w:r>
      <w:r w:rsidR="005F5E43" w:rsidRPr="005F5E43">
        <w:rPr>
          <w:rFonts w:ascii="Arial" w:eastAsia="Calibri" w:hAnsi="Arial" w:cs="Arial"/>
          <w:color w:val="000000" w:themeColor="text1"/>
          <w:sz w:val="20"/>
          <w:szCs w:val="20"/>
        </w:rPr>
        <w:t xml:space="preserve">stanje duga iznosi </w:t>
      </w:r>
      <w:r w:rsidR="004A5280">
        <w:rPr>
          <w:rFonts w:ascii="Arial" w:eastAsia="Calibri" w:hAnsi="Arial" w:cs="Arial"/>
          <w:color w:val="000000" w:themeColor="text1"/>
          <w:sz w:val="20"/>
          <w:szCs w:val="20"/>
        </w:rPr>
        <w:t>1.053.676,85</w:t>
      </w:r>
      <w:r w:rsidRPr="005F5E43">
        <w:rPr>
          <w:rFonts w:ascii="Arial" w:eastAsia="Calibri" w:hAnsi="Arial" w:cs="Arial"/>
          <w:color w:val="000000" w:themeColor="text1"/>
          <w:sz w:val="20"/>
          <w:szCs w:val="20"/>
        </w:rPr>
        <w:t xml:space="preserve"> eura.</w:t>
      </w:r>
    </w:p>
    <w:p w:rsidR="004B4C7C" w:rsidRPr="00E5385F" w:rsidRDefault="004B4C7C" w:rsidP="004A528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:rsidR="0070714E" w:rsidRPr="0070714E" w:rsidRDefault="0070714E" w:rsidP="004A528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70714E">
        <w:rPr>
          <w:rFonts w:ascii="Arial" w:eastAsia="Calibri" w:hAnsi="Arial" w:cs="Arial"/>
          <w:sz w:val="20"/>
          <w:szCs w:val="20"/>
        </w:rPr>
        <w:t>S obzirom da Grad Zagreb nije u cijelosti iskoristio odobrena kreditna sredstva u iznosu od 206.910.000,00 eura kod Europske investicijske banke, Gradska skupština Grada Zagreba je na sjednici u prosincu 2025. donijela Zaključak o izmjenama i dopunama Zaključka o zaduživanju Grada Zagreba, kojim se uskladila dinamika korištenja sredstava s investicijskim ciklusima i nadopunila namjena zaduživanja. Tijekom ovog izvještajnog razdoblja, u ožujku 2026. je sukladno Zakonu o proračunu ishođena suglasnost Ministarstva financija za izmjenom namjene zaduživanja utvrđene Odlukom Vlade Republike Hrvatske o davanju suglasnosti Gradu Zagrebu za zaduženje kod Europske investicijske banke od 13. lipnja 2024.</w:t>
      </w:r>
    </w:p>
    <w:p w:rsidR="0070714E" w:rsidRPr="0070714E" w:rsidRDefault="0070714E" w:rsidP="004A528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:rsidR="0070714E" w:rsidRPr="0070714E" w:rsidRDefault="0070714E" w:rsidP="004A528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70714E">
        <w:rPr>
          <w:rFonts w:ascii="Arial" w:eastAsia="Calibri" w:hAnsi="Arial" w:cs="Arial"/>
          <w:sz w:val="20"/>
          <w:szCs w:val="20"/>
        </w:rPr>
        <w:t xml:space="preserve">Osim navedenog, Ministarstvo financija je u siječnju 2026. godine Gradu Zagrebu dalo suglasnost na Zaključak koji je Gradska skupština Grada Zagreba donijela u prethodnom izvještajnom razdoblju. Navedenim Zaključkom dana je suglasnost trgovačkom društvu Zagrebački holding d.o.o. za dugoročno zaduživanje kod International Finance Corporation u iznosu od 56.000.000,00 eura, na rok otplate kredita od pet godina s počekom od dvije godine, u deset jednakih polugodišnjih obroka, uz promjenjivu kamatnu stopu u visini šestomjesečnog EURIBOR-a uvećanog za kamatnu maržu od 0,65% te pripadajuće naknade. Prema Zakonu o proračunu, u slučaju zaduživanja trgovačkog društva kod međunarodne financijske institucije obvezna je suglasnost Ministarstva financija.    </w:t>
      </w:r>
    </w:p>
    <w:p w:rsidR="0070714E" w:rsidRPr="0070714E" w:rsidRDefault="0070714E" w:rsidP="004A52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91F42" w:rsidRDefault="00691F42" w:rsidP="004A528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691F42">
        <w:rPr>
          <w:rFonts w:ascii="Arial" w:eastAsia="Calibri" w:hAnsi="Arial" w:cs="Arial"/>
          <w:sz w:val="20"/>
          <w:szCs w:val="20"/>
        </w:rPr>
        <w:t xml:space="preserve">U tablicama u nastavku dan je pregled stanja duga ugovorenih kredita, zajmova </w:t>
      </w:r>
      <w:r w:rsidR="006C3F47">
        <w:rPr>
          <w:rFonts w:ascii="Arial" w:eastAsia="Calibri" w:hAnsi="Arial" w:cs="Arial"/>
          <w:sz w:val="20"/>
          <w:szCs w:val="20"/>
        </w:rPr>
        <w:t>i cesija Grada Zagreba na dan 30</w:t>
      </w:r>
      <w:r w:rsidR="001C5231">
        <w:rPr>
          <w:rFonts w:ascii="Arial" w:eastAsia="Calibri" w:hAnsi="Arial" w:cs="Arial"/>
          <w:sz w:val="20"/>
          <w:szCs w:val="20"/>
        </w:rPr>
        <w:t>.</w:t>
      </w:r>
      <w:r w:rsidR="00EF036E">
        <w:rPr>
          <w:rFonts w:ascii="Arial" w:eastAsia="Calibri" w:hAnsi="Arial" w:cs="Arial"/>
          <w:sz w:val="20"/>
          <w:szCs w:val="20"/>
        </w:rPr>
        <w:t>06</w:t>
      </w:r>
      <w:r w:rsidRPr="00691F42">
        <w:rPr>
          <w:rFonts w:ascii="Arial" w:eastAsia="Calibri" w:hAnsi="Arial" w:cs="Arial"/>
          <w:sz w:val="20"/>
          <w:szCs w:val="20"/>
        </w:rPr>
        <w:t>.202</w:t>
      </w:r>
      <w:r w:rsidR="00EF036E">
        <w:rPr>
          <w:rFonts w:ascii="Arial" w:eastAsia="Calibri" w:hAnsi="Arial" w:cs="Arial"/>
          <w:sz w:val="20"/>
          <w:szCs w:val="20"/>
        </w:rPr>
        <w:t>6</w:t>
      </w:r>
      <w:r w:rsidRPr="00691F42">
        <w:rPr>
          <w:rFonts w:ascii="Arial" w:eastAsia="Calibri" w:hAnsi="Arial" w:cs="Arial"/>
          <w:sz w:val="20"/>
          <w:szCs w:val="20"/>
        </w:rPr>
        <w:t xml:space="preserve">. uz plan otplate glavnice i kamata za </w:t>
      </w:r>
      <w:r w:rsidRPr="006C3F47">
        <w:rPr>
          <w:rFonts w:ascii="Arial" w:eastAsia="Calibri" w:hAnsi="Arial" w:cs="Arial"/>
          <w:sz w:val="20"/>
          <w:szCs w:val="20"/>
        </w:rPr>
        <w:t>period 202</w:t>
      </w:r>
      <w:r w:rsidR="006C3F47">
        <w:rPr>
          <w:rFonts w:ascii="Arial" w:eastAsia="Calibri" w:hAnsi="Arial" w:cs="Arial"/>
          <w:sz w:val="20"/>
          <w:szCs w:val="20"/>
        </w:rPr>
        <w:t>6</w:t>
      </w:r>
      <w:r w:rsidRPr="006C3F47">
        <w:rPr>
          <w:rFonts w:ascii="Arial" w:eastAsia="Calibri" w:hAnsi="Arial" w:cs="Arial"/>
          <w:sz w:val="20"/>
          <w:szCs w:val="20"/>
        </w:rPr>
        <w:t>.-203</w:t>
      </w:r>
      <w:r w:rsidR="006C3F47" w:rsidRPr="006C3F47">
        <w:rPr>
          <w:rFonts w:ascii="Arial" w:eastAsia="Calibri" w:hAnsi="Arial" w:cs="Arial"/>
          <w:sz w:val="20"/>
          <w:szCs w:val="20"/>
        </w:rPr>
        <w:t>8</w:t>
      </w:r>
      <w:r w:rsidRPr="006C3F47">
        <w:rPr>
          <w:rFonts w:ascii="Arial" w:eastAsia="Calibri" w:hAnsi="Arial" w:cs="Arial"/>
          <w:sz w:val="20"/>
          <w:szCs w:val="20"/>
        </w:rPr>
        <w:t xml:space="preserve">. </w:t>
      </w:r>
    </w:p>
    <w:p w:rsidR="002F21FD" w:rsidRDefault="002F21FD" w:rsidP="00AA3CC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ja-JP"/>
        </w:rPr>
        <w:sectPr w:rsidR="002F21FD" w:rsidSect="007B7972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AA3CC2" w:rsidRDefault="00AA3CC2" w:rsidP="00AA3CC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ja-JP"/>
        </w:rPr>
      </w:pPr>
    </w:p>
    <w:p w:rsidR="00AA3CC2" w:rsidRPr="00AA3CC2" w:rsidRDefault="009B2CED" w:rsidP="002F21F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ja-JP"/>
        </w:rPr>
      </w:pPr>
      <w:r w:rsidRPr="009B2CED">
        <w:rPr>
          <w:noProof/>
          <w:lang w:eastAsia="hr-HR"/>
        </w:rPr>
        <w:drawing>
          <wp:inline distT="0" distB="0" distL="0" distR="0" wp14:anchorId="07745E9A" wp14:editId="165DF8E3">
            <wp:extent cx="9039225" cy="5429250"/>
            <wp:effectExtent l="0" t="0" r="9525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9225" cy="542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3CC2" w:rsidRDefault="009B2CED" w:rsidP="00AA3CC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ja-JP"/>
        </w:rPr>
      </w:pPr>
      <w:r w:rsidRPr="009B2CED">
        <w:rPr>
          <w:noProof/>
          <w:lang w:eastAsia="hr-HR"/>
        </w:rPr>
        <w:drawing>
          <wp:inline distT="0" distB="0" distL="0" distR="0">
            <wp:extent cx="8891270" cy="5817161"/>
            <wp:effectExtent l="0" t="0" r="508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5817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3CC2" w:rsidRDefault="005B334D" w:rsidP="00AA3CC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ja-JP"/>
        </w:rPr>
      </w:pPr>
      <w:r w:rsidRPr="005B334D">
        <w:rPr>
          <w:noProof/>
          <w:lang w:eastAsia="hr-HR"/>
        </w:rPr>
        <w:drawing>
          <wp:inline distT="0" distB="0" distL="0" distR="0">
            <wp:extent cx="8891270" cy="346823"/>
            <wp:effectExtent l="0" t="0" r="5080" b="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346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334D" w:rsidRDefault="005B334D" w:rsidP="00AA3CC2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ja-JP"/>
        </w:rPr>
      </w:pPr>
      <w:r w:rsidRPr="005B334D">
        <w:rPr>
          <w:noProof/>
          <w:lang w:eastAsia="hr-HR"/>
        </w:rPr>
        <w:drawing>
          <wp:inline distT="0" distB="0" distL="0" distR="0">
            <wp:extent cx="8891270" cy="5147163"/>
            <wp:effectExtent l="0" t="0" r="5080" b="0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5147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D26" w:rsidRDefault="00FE1D26" w:rsidP="00581E8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B3FAC" w:rsidRDefault="005B334D" w:rsidP="008F5B4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eastAsia="hr-HR"/>
        </w:rPr>
        <w:drawing>
          <wp:inline distT="0" distB="0" distL="0" distR="0" wp14:anchorId="048073C0">
            <wp:extent cx="8895080" cy="347345"/>
            <wp:effectExtent l="0" t="0" r="1270" b="0"/>
            <wp:docPr id="14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5080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B334D" w:rsidRDefault="005B334D" w:rsidP="008F5B4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B334D">
        <w:rPr>
          <w:noProof/>
          <w:lang w:eastAsia="hr-HR"/>
        </w:rPr>
        <w:drawing>
          <wp:inline distT="0" distB="0" distL="0" distR="0">
            <wp:extent cx="8891270" cy="4130342"/>
            <wp:effectExtent l="0" t="0" r="5080" b="3810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4130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FAC" w:rsidRDefault="00FB3FAC" w:rsidP="00581E8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81E8D" w:rsidRDefault="00581E8D" w:rsidP="00581E8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  <w:sectPr w:rsidR="00581E8D" w:rsidSect="009C10D3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581E8D" w:rsidRDefault="005B334D" w:rsidP="00581E8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eastAsia="hr-HR"/>
        </w:rPr>
        <w:drawing>
          <wp:inline distT="0" distB="0" distL="0" distR="0" wp14:anchorId="0AE07D96">
            <wp:extent cx="8895080" cy="347345"/>
            <wp:effectExtent l="0" t="0" r="1270" b="0"/>
            <wp:docPr id="16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5080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B334D" w:rsidRDefault="005B334D" w:rsidP="00581E8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5B334D">
        <w:rPr>
          <w:noProof/>
          <w:lang w:eastAsia="hr-HR"/>
        </w:rPr>
        <w:drawing>
          <wp:inline distT="0" distB="0" distL="0" distR="0">
            <wp:extent cx="8891270" cy="2498699"/>
            <wp:effectExtent l="0" t="0" r="5080" b="0"/>
            <wp:docPr id="17" name="Slika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2498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E8D" w:rsidRDefault="00581E8D" w:rsidP="00581E8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B334D" w:rsidRDefault="005B334D" w:rsidP="00581E8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  <w:sectPr w:rsidR="005B334D" w:rsidSect="009C10D3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A23766" w:rsidRDefault="00A23766" w:rsidP="00A23766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Calibri" w:hAnsi="Arial" w:cs="Arial"/>
          <w:b/>
          <w:bCs/>
          <w:sz w:val="20"/>
          <w:szCs w:val="20"/>
        </w:rPr>
      </w:pPr>
      <w:r w:rsidRPr="00A23766">
        <w:rPr>
          <w:rFonts w:ascii="Arial" w:eastAsia="Calibri" w:hAnsi="Arial" w:cs="Arial"/>
          <w:b/>
          <w:bCs/>
          <w:sz w:val="20"/>
          <w:szCs w:val="20"/>
        </w:rPr>
        <w:t>PREGLED ZADUŽIVANJA PRORAČUNSKIH KORISNIKA GRADA ZAGREBA</w:t>
      </w:r>
    </w:p>
    <w:p w:rsidR="009B7DC3" w:rsidRDefault="009B7DC3" w:rsidP="00A23766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Calibri" w:hAnsi="Arial" w:cs="Arial"/>
          <w:b/>
          <w:bCs/>
          <w:sz w:val="20"/>
          <w:szCs w:val="20"/>
        </w:rPr>
      </w:pPr>
    </w:p>
    <w:p w:rsidR="009B7DC3" w:rsidRDefault="009B7DC3" w:rsidP="009B7DC3">
      <w:pPr>
        <w:autoSpaceDE w:val="0"/>
        <w:autoSpaceDN w:val="0"/>
        <w:adjustRightInd w:val="0"/>
        <w:spacing w:after="0" w:line="276" w:lineRule="auto"/>
        <w:rPr>
          <w:rFonts w:ascii="Arial" w:eastAsia="Calibri" w:hAnsi="Arial" w:cs="Arial"/>
          <w:b/>
          <w:bCs/>
          <w:sz w:val="20"/>
          <w:szCs w:val="20"/>
        </w:rPr>
      </w:pPr>
      <w:r>
        <w:rPr>
          <w:noProof/>
          <w:lang w:eastAsia="hr-HR"/>
        </w:rPr>
        <w:drawing>
          <wp:inline distT="0" distB="0" distL="0" distR="0" wp14:anchorId="64BCDE94" wp14:editId="194B1E40">
            <wp:extent cx="8829675" cy="51720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29675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7DC3" w:rsidRDefault="009B7DC3" w:rsidP="009B7DC3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Calibri" w:hAnsi="Arial" w:cs="Arial"/>
          <w:b/>
          <w:bCs/>
          <w:sz w:val="20"/>
          <w:szCs w:val="20"/>
        </w:rPr>
      </w:pPr>
      <w:r>
        <w:rPr>
          <w:noProof/>
          <w:lang w:eastAsia="hr-HR"/>
        </w:rPr>
        <w:drawing>
          <wp:inline distT="0" distB="0" distL="0" distR="0" wp14:anchorId="74CCED18" wp14:editId="00444243">
            <wp:extent cx="8896350" cy="53911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96350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7362" w:rsidRDefault="00C47362" w:rsidP="009B7DC3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Calibri" w:hAnsi="Arial" w:cs="Arial"/>
          <w:b/>
          <w:bCs/>
          <w:sz w:val="20"/>
          <w:szCs w:val="20"/>
        </w:rPr>
      </w:pPr>
      <w:r>
        <w:rPr>
          <w:noProof/>
          <w:lang w:eastAsia="hr-HR"/>
        </w:rPr>
        <w:drawing>
          <wp:inline distT="0" distB="0" distL="0" distR="0" wp14:anchorId="72F14AF7" wp14:editId="4517FFBB">
            <wp:extent cx="8953500" cy="54102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9535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6FD5" w:rsidRDefault="00726FD5" w:rsidP="009B7DC3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Calibri" w:hAnsi="Arial" w:cs="Arial"/>
          <w:b/>
          <w:bCs/>
          <w:sz w:val="20"/>
          <w:szCs w:val="20"/>
        </w:rPr>
      </w:pPr>
    </w:p>
    <w:p w:rsidR="00726FD5" w:rsidRDefault="00726FD5" w:rsidP="009B7DC3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Calibri" w:hAnsi="Arial" w:cs="Arial"/>
          <w:b/>
          <w:bCs/>
          <w:sz w:val="20"/>
          <w:szCs w:val="20"/>
        </w:rPr>
      </w:pPr>
    </w:p>
    <w:p w:rsidR="00726FD5" w:rsidRDefault="00726FD5" w:rsidP="009B7DC3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Calibri" w:hAnsi="Arial" w:cs="Arial"/>
          <w:b/>
          <w:bCs/>
          <w:sz w:val="20"/>
          <w:szCs w:val="20"/>
        </w:rPr>
      </w:pPr>
    </w:p>
    <w:p w:rsidR="00726FD5" w:rsidRDefault="00726FD5" w:rsidP="009B7DC3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Calibri" w:hAnsi="Arial" w:cs="Arial"/>
          <w:b/>
          <w:bCs/>
          <w:sz w:val="20"/>
          <w:szCs w:val="20"/>
        </w:rPr>
      </w:pPr>
    </w:p>
    <w:p w:rsidR="00726FD5" w:rsidRDefault="00726FD5" w:rsidP="009B7DC3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Calibri" w:hAnsi="Arial" w:cs="Arial"/>
          <w:b/>
          <w:bCs/>
          <w:sz w:val="20"/>
          <w:szCs w:val="20"/>
        </w:rPr>
      </w:pPr>
      <w:r>
        <w:rPr>
          <w:noProof/>
          <w:lang w:eastAsia="hr-HR"/>
        </w:rPr>
        <w:drawing>
          <wp:inline distT="0" distB="0" distL="0" distR="0" wp14:anchorId="5EDD891C" wp14:editId="09340966">
            <wp:extent cx="8810625" cy="497205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810625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E7D" w:rsidRDefault="00A44E7D" w:rsidP="00A23766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Calibri" w:hAnsi="Arial" w:cs="Arial"/>
          <w:b/>
          <w:bCs/>
          <w:sz w:val="20"/>
          <w:szCs w:val="20"/>
        </w:rPr>
      </w:pPr>
    </w:p>
    <w:p w:rsidR="00726FD5" w:rsidRDefault="00726FD5" w:rsidP="00A23766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Calibri" w:hAnsi="Arial" w:cs="Arial"/>
          <w:b/>
          <w:bCs/>
          <w:sz w:val="20"/>
          <w:szCs w:val="20"/>
        </w:rPr>
      </w:pPr>
    </w:p>
    <w:p w:rsidR="00726FD5" w:rsidRDefault="00726FD5" w:rsidP="00A23766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Calibri" w:hAnsi="Arial" w:cs="Arial"/>
          <w:b/>
          <w:bCs/>
          <w:sz w:val="20"/>
          <w:szCs w:val="20"/>
        </w:rPr>
      </w:pPr>
    </w:p>
    <w:p w:rsidR="00A44E7D" w:rsidRPr="00A23766" w:rsidRDefault="00A44E7D" w:rsidP="00A23766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Calibri" w:hAnsi="Arial" w:cs="Arial"/>
          <w:b/>
          <w:bCs/>
          <w:sz w:val="20"/>
          <w:szCs w:val="20"/>
        </w:rPr>
      </w:pPr>
    </w:p>
    <w:p w:rsidR="008626B1" w:rsidRDefault="008626B1" w:rsidP="00581E8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A23766" w:rsidRDefault="00A23766" w:rsidP="00581E8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A23766">
        <w:rPr>
          <w:noProof/>
          <w:lang w:eastAsia="hr-HR"/>
        </w:rPr>
        <w:drawing>
          <wp:inline distT="0" distB="0" distL="0" distR="0">
            <wp:extent cx="8724900" cy="1514475"/>
            <wp:effectExtent l="0" t="0" r="0" b="9525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6288" cy="1514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3766" w:rsidSect="00A23766">
      <w:pgSz w:w="16838" w:h="11906" w:orient="landscape"/>
      <w:pgMar w:top="1418" w:right="2663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D4725"/>
    <w:multiLevelType w:val="hybridMultilevel"/>
    <w:tmpl w:val="005895BC"/>
    <w:lvl w:ilvl="0" w:tplc="176025B6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EE18E4"/>
    <w:multiLevelType w:val="multilevel"/>
    <w:tmpl w:val="D334FB9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64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99D"/>
    <w:rsid w:val="00051771"/>
    <w:rsid w:val="00053C76"/>
    <w:rsid w:val="00056AAB"/>
    <w:rsid w:val="00074AFD"/>
    <w:rsid w:val="00091A18"/>
    <w:rsid w:val="000960B4"/>
    <w:rsid w:val="000A144B"/>
    <w:rsid w:val="000A3245"/>
    <w:rsid w:val="000B76C3"/>
    <w:rsid w:val="000C38F9"/>
    <w:rsid w:val="000F085A"/>
    <w:rsid w:val="00153518"/>
    <w:rsid w:val="0015490B"/>
    <w:rsid w:val="00174EA7"/>
    <w:rsid w:val="001B0148"/>
    <w:rsid w:val="001B5AAD"/>
    <w:rsid w:val="001C5231"/>
    <w:rsid w:val="001E6085"/>
    <w:rsid w:val="00201F84"/>
    <w:rsid w:val="00206330"/>
    <w:rsid w:val="002263C1"/>
    <w:rsid w:val="00227889"/>
    <w:rsid w:val="00230183"/>
    <w:rsid w:val="0027023D"/>
    <w:rsid w:val="00284B00"/>
    <w:rsid w:val="002C6CC5"/>
    <w:rsid w:val="002E5AE3"/>
    <w:rsid w:val="002F1051"/>
    <w:rsid w:val="002F21FD"/>
    <w:rsid w:val="00324F5E"/>
    <w:rsid w:val="003543EF"/>
    <w:rsid w:val="0035504D"/>
    <w:rsid w:val="003716E4"/>
    <w:rsid w:val="00393A35"/>
    <w:rsid w:val="003A4269"/>
    <w:rsid w:val="003E7DC6"/>
    <w:rsid w:val="003F6C46"/>
    <w:rsid w:val="00407F20"/>
    <w:rsid w:val="00411171"/>
    <w:rsid w:val="0043224C"/>
    <w:rsid w:val="00450B6D"/>
    <w:rsid w:val="00472FBA"/>
    <w:rsid w:val="004A5280"/>
    <w:rsid w:val="004A7FBD"/>
    <w:rsid w:val="004B4C7C"/>
    <w:rsid w:val="004D176F"/>
    <w:rsid w:val="004E76F8"/>
    <w:rsid w:val="00507698"/>
    <w:rsid w:val="005315A0"/>
    <w:rsid w:val="005401DF"/>
    <w:rsid w:val="0054399A"/>
    <w:rsid w:val="0055608D"/>
    <w:rsid w:val="00581E8D"/>
    <w:rsid w:val="005B334D"/>
    <w:rsid w:val="005B45EB"/>
    <w:rsid w:val="005B577F"/>
    <w:rsid w:val="005D2B3C"/>
    <w:rsid w:val="005E299D"/>
    <w:rsid w:val="005F3B20"/>
    <w:rsid w:val="005F5630"/>
    <w:rsid w:val="005F5E43"/>
    <w:rsid w:val="005F60C6"/>
    <w:rsid w:val="00614978"/>
    <w:rsid w:val="00623C71"/>
    <w:rsid w:val="006430F2"/>
    <w:rsid w:val="00657BBB"/>
    <w:rsid w:val="00691F42"/>
    <w:rsid w:val="006A1BA0"/>
    <w:rsid w:val="006A518E"/>
    <w:rsid w:val="006A7B77"/>
    <w:rsid w:val="006B27BF"/>
    <w:rsid w:val="006B2B15"/>
    <w:rsid w:val="006C3F47"/>
    <w:rsid w:val="006C617E"/>
    <w:rsid w:val="006F7BB3"/>
    <w:rsid w:val="0070714E"/>
    <w:rsid w:val="0071548A"/>
    <w:rsid w:val="00724D0F"/>
    <w:rsid w:val="00726FD5"/>
    <w:rsid w:val="0074699B"/>
    <w:rsid w:val="00757F96"/>
    <w:rsid w:val="00762B76"/>
    <w:rsid w:val="007B7972"/>
    <w:rsid w:val="00844CAF"/>
    <w:rsid w:val="00846B99"/>
    <w:rsid w:val="00855182"/>
    <w:rsid w:val="008626B1"/>
    <w:rsid w:val="00864E34"/>
    <w:rsid w:val="00883277"/>
    <w:rsid w:val="0089037D"/>
    <w:rsid w:val="008C101C"/>
    <w:rsid w:val="008C19E7"/>
    <w:rsid w:val="008F5B43"/>
    <w:rsid w:val="00906653"/>
    <w:rsid w:val="009242FA"/>
    <w:rsid w:val="00960F32"/>
    <w:rsid w:val="00963E1D"/>
    <w:rsid w:val="009714E7"/>
    <w:rsid w:val="009B2CED"/>
    <w:rsid w:val="009B7DC3"/>
    <w:rsid w:val="009C10D3"/>
    <w:rsid w:val="009C6692"/>
    <w:rsid w:val="009D02B5"/>
    <w:rsid w:val="009D53FC"/>
    <w:rsid w:val="009D579E"/>
    <w:rsid w:val="009E48B4"/>
    <w:rsid w:val="00A0117B"/>
    <w:rsid w:val="00A12379"/>
    <w:rsid w:val="00A14B98"/>
    <w:rsid w:val="00A23766"/>
    <w:rsid w:val="00A43F1B"/>
    <w:rsid w:val="00A44E7D"/>
    <w:rsid w:val="00A66818"/>
    <w:rsid w:val="00AA31AF"/>
    <w:rsid w:val="00AA3CC2"/>
    <w:rsid w:val="00AD0677"/>
    <w:rsid w:val="00AE7072"/>
    <w:rsid w:val="00AE7B28"/>
    <w:rsid w:val="00B45EE5"/>
    <w:rsid w:val="00B47348"/>
    <w:rsid w:val="00B60317"/>
    <w:rsid w:val="00B665A9"/>
    <w:rsid w:val="00B71D6C"/>
    <w:rsid w:val="00B73D1F"/>
    <w:rsid w:val="00B84193"/>
    <w:rsid w:val="00B903C9"/>
    <w:rsid w:val="00B973AD"/>
    <w:rsid w:val="00BA4592"/>
    <w:rsid w:val="00BE282E"/>
    <w:rsid w:val="00BE773A"/>
    <w:rsid w:val="00C037D4"/>
    <w:rsid w:val="00C12FAC"/>
    <w:rsid w:val="00C32943"/>
    <w:rsid w:val="00C47362"/>
    <w:rsid w:val="00C55769"/>
    <w:rsid w:val="00C62285"/>
    <w:rsid w:val="00CA3CBF"/>
    <w:rsid w:val="00CB1C5F"/>
    <w:rsid w:val="00CD252C"/>
    <w:rsid w:val="00CD305D"/>
    <w:rsid w:val="00D0209E"/>
    <w:rsid w:val="00D20FCB"/>
    <w:rsid w:val="00D90D90"/>
    <w:rsid w:val="00D90ECE"/>
    <w:rsid w:val="00D944DF"/>
    <w:rsid w:val="00D9688E"/>
    <w:rsid w:val="00E03C67"/>
    <w:rsid w:val="00E2687C"/>
    <w:rsid w:val="00E47495"/>
    <w:rsid w:val="00E5385F"/>
    <w:rsid w:val="00E71C3A"/>
    <w:rsid w:val="00EB68A8"/>
    <w:rsid w:val="00EC3448"/>
    <w:rsid w:val="00ED14D8"/>
    <w:rsid w:val="00ED5298"/>
    <w:rsid w:val="00EF036E"/>
    <w:rsid w:val="00F00DB1"/>
    <w:rsid w:val="00F02124"/>
    <w:rsid w:val="00F151B5"/>
    <w:rsid w:val="00F32A27"/>
    <w:rsid w:val="00F340B1"/>
    <w:rsid w:val="00F35AAD"/>
    <w:rsid w:val="00F8553B"/>
    <w:rsid w:val="00FB3FAC"/>
    <w:rsid w:val="00FD4399"/>
    <w:rsid w:val="00FE1D26"/>
    <w:rsid w:val="00FE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75CE5F-08EA-4B8E-AA04-E74F6A84C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5E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6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08D"/>
    <w:rPr>
      <w:rFonts w:ascii="Segoe UI" w:hAnsi="Segoe UI" w:cs="Segoe UI"/>
      <w:sz w:val="18"/>
      <w:szCs w:val="18"/>
    </w:rPr>
  </w:style>
  <w:style w:type="table" w:styleId="GridTable1Light-Accent3">
    <w:name w:val="Grid Table 1 Light Accent 3"/>
    <w:basedOn w:val="TableNormal"/>
    <w:uiPriority w:val="46"/>
    <w:rsid w:val="00623C71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40BE59-09CF-411A-A704-E6D32B73F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1048</Words>
  <Characters>5975</Characters>
  <Application>Microsoft Office Word</Application>
  <DocSecurity>4</DocSecurity>
  <Lines>49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Grad Zagreb</Company>
  <LinksUpToDate>false</LinksUpToDate>
  <CharactersWithSpaces>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Kuterovac Cindrić</dc:creator>
  <cp:keywords/>
  <dc:description/>
  <cp:lastModifiedBy>Kristina Petković</cp:lastModifiedBy>
  <cp:revision>2</cp:revision>
  <cp:lastPrinted>2026-09-03T07:51:00Z</cp:lastPrinted>
  <dcterms:created xsi:type="dcterms:W3CDTF">2026-09-04T11:24:00Z</dcterms:created>
  <dcterms:modified xsi:type="dcterms:W3CDTF">2026-09-04T11:24:00Z</dcterms:modified>
</cp:coreProperties>
</file>